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BC" w:rsidRDefault="008703DB"/>
    <w:p w:rsidR="008703DB" w:rsidRDefault="008703DB">
      <w:r w:rsidRPr="008703DB">
        <w:drawing>
          <wp:inline distT="0" distB="0" distL="0" distR="0">
            <wp:extent cx="3044571" cy="1924355"/>
            <wp:effectExtent l="19050" t="0" r="3429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71" cy="19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3DB" w:rsidRDefault="008703DB" w:rsidP="008703DB">
      <w:pPr>
        <w:spacing w:line="48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Figure 1</w:t>
      </w:r>
      <w:r w:rsidRPr="0087134B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T</w:t>
      </w:r>
      <w:r w:rsidRPr="0087134B">
        <w:rPr>
          <w:rFonts w:cstheme="minorHAnsi"/>
          <w:sz w:val="16"/>
          <w:szCs w:val="16"/>
        </w:rPr>
        <w:t>opological parameters</w:t>
      </w:r>
      <w:r>
        <w:rPr>
          <w:rFonts w:cstheme="minorHAnsi"/>
          <w:sz w:val="16"/>
          <w:szCs w:val="16"/>
        </w:rPr>
        <w:t xml:space="preserve"> of active users’ –</w:t>
      </w:r>
      <w:r w:rsidRPr="0087134B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behavior over 19 months of activity (see Table 8 in the Appendix)</w:t>
      </w:r>
    </w:p>
    <w:p w:rsidR="008703DB" w:rsidRDefault="008703DB"/>
    <w:sectPr w:rsidR="008703DB" w:rsidSect="002C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703DB"/>
    <w:rsid w:val="002C2FBD"/>
    <w:rsid w:val="004351C5"/>
    <w:rsid w:val="008703DB"/>
    <w:rsid w:val="00AE7E94"/>
    <w:rsid w:val="00B73B01"/>
    <w:rsid w:val="00BC4763"/>
    <w:rsid w:val="00E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College Of Management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</cp:revision>
  <dcterms:created xsi:type="dcterms:W3CDTF">2014-02-04T09:51:00Z</dcterms:created>
  <dcterms:modified xsi:type="dcterms:W3CDTF">2014-02-04T09:52:00Z</dcterms:modified>
</cp:coreProperties>
</file>